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F9AF" w14:textId="0A9EB660" w:rsidR="00AE5D4A" w:rsidRDefault="00AE5D4A" w:rsidP="00AE5D4A">
      <w:pPr>
        <w:pStyle w:val="NormalWeb"/>
        <w:rPr>
          <w:rStyle w:val="Textoennegrita"/>
          <w:rFonts w:ascii="Arial" w:hAnsi="Arial" w:cs="Arial"/>
          <w:color w:val="599AA6"/>
        </w:rPr>
      </w:pPr>
      <w:r>
        <w:rPr>
          <w:rFonts w:ascii="Arial" w:hAnsi="Arial" w:cs="Arial"/>
          <w:color w:val="3D393C"/>
        </w:rPr>
        <w:t>Ej</w:t>
      </w:r>
      <w:r>
        <w:rPr>
          <w:rFonts w:ascii="Arial" w:hAnsi="Arial" w:cs="Arial"/>
          <w:color w:val="3D393C"/>
        </w:rPr>
        <w:t>e de actuación 3: </w:t>
      </w:r>
      <w:hyperlink r:id="rId5" w:tgtFrame="_blank" w:history="1">
        <w:r>
          <w:rPr>
            <w:rStyle w:val="Textoennegrita"/>
            <w:rFonts w:ascii="Arial" w:hAnsi="Arial" w:cs="Arial"/>
            <w:color w:val="599AA6"/>
          </w:rPr>
          <w:t>Encadenamiento productivo</w:t>
        </w:r>
      </w:hyperlink>
    </w:p>
    <w:p w14:paraId="5C6B9560" w14:textId="77777777" w:rsidR="00AE5D4A" w:rsidRDefault="00AE5D4A" w:rsidP="00AE5D4A">
      <w:pPr>
        <w:pStyle w:val="NormalWeb"/>
        <w:rPr>
          <w:rFonts w:ascii="Arial" w:hAnsi="Arial" w:cs="Arial"/>
          <w:color w:val="3D393C"/>
        </w:rPr>
      </w:pPr>
      <w:r w:rsidRPr="00261366">
        <w:rPr>
          <w:rFonts w:ascii="Arial" w:hAnsi="Arial" w:cs="Arial"/>
          <w:noProof/>
          <w:color w:val="3D393C"/>
        </w:rPr>
        <w:drawing>
          <wp:inline distT="0" distB="0" distL="0" distR="0" wp14:anchorId="28A47930" wp14:editId="48C9E8C0">
            <wp:extent cx="7768623" cy="2317531"/>
            <wp:effectExtent l="0" t="0" r="0" b="0"/>
            <wp:docPr id="90911191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11912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5144" cy="23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E65CF" w14:textId="77777777" w:rsidR="00AE5D4A" w:rsidRDefault="00AE5D4A" w:rsidP="00AE5D4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3D393C"/>
        </w:rPr>
      </w:pPr>
      <w:r>
        <w:rPr>
          <w:rFonts w:ascii="Arial" w:hAnsi="Arial" w:cs="Arial"/>
          <w:color w:val="3D393C"/>
        </w:rPr>
        <w:t>En la acción Número 19 se tendría que definir cuáles son los esquemas de aprovechamiento de materias primas secundarias que se están contemplando y reconocer las limitantes o condiciones que no podrán aplicarse dado que la aplicación del PEC es a escala local (CDMX) también debe reconocerse qué tipo de sectores y qué actores de la cadena de valor operan dentro de la CDMX sin que genere barreras técnicas al comercio o afectar la eficiencia en la logística de distribución o abasto de productos. Esta sugerencia se basa en la viabilidad y factibilidad técnica y económica de incluir en todos los procesos materias primas secundarias, las cuales suelen tener un mayor costo.</w:t>
      </w:r>
    </w:p>
    <w:p w14:paraId="3E65A6DA" w14:textId="77777777" w:rsidR="005C1753" w:rsidRDefault="005C1753"/>
    <w:sectPr w:rsidR="005C1753" w:rsidSect="0086377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8530A"/>
    <w:multiLevelType w:val="hybridMultilevel"/>
    <w:tmpl w:val="D5BA0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9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4A"/>
    <w:rsid w:val="005C1753"/>
    <w:rsid w:val="00863773"/>
    <w:rsid w:val="00AE5D4A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C801"/>
  <w15:chartTrackingRefBased/>
  <w15:docId w15:val="{E287BB8F-D7BB-4214-8D4D-39FE8BB7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</w:rPr>
  </w:style>
  <w:style w:type="character" w:styleId="Textoennegrita">
    <w:name w:val="Strong"/>
    <w:basedOn w:val="Fuentedeprrafopredeter"/>
    <w:uiPriority w:val="22"/>
    <w:qFormat/>
    <w:rsid w:val="00AE5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lazapublica.cdmx.gob.mx/processes/EconomiaCircularCDMX/f/1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Ecoce AC</dc:creator>
  <cp:keywords/>
  <dc:description/>
  <cp:lastModifiedBy>Ecoce AC</cp:lastModifiedBy>
  <cp:revision>1</cp:revision>
  <dcterms:created xsi:type="dcterms:W3CDTF">2024-02-21T03:53:00Z</dcterms:created>
  <dcterms:modified xsi:type="dcterms:W3CDTF">2024-02-21T03:53:00Z</dcterms:modified>
</cp:coreProperties>
</file>