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4037" w14:textId="77777777" w:rsidR="00BF0B12" w:rsidRDefault="00BF0B12" w:rsidP="00BF0B12">
      <w:pPr>
        <w:pStyle w:val="NormalWeb"/>
        <w:spacing w:line="276" w:lineRule="auto"/>
        <w:jc w:val="both"/>
        <w:rPr>
          <w:rFonts w:ascii="Arial" w:hAnsi="Arial" w:cs="Arial"/>
          <w:color w:val="3D393C"/>
        </w:rPr>
      </w:pPr>
      <w:r w:rsidRPr="00F6565E">
        <w:rPr>
          <w:rFonts w:ascii="Arial" w:hAnsi="Arial" w:cs="Arial"/>
          <w:noProof/>
          <w:color w:val="3D393C"/>
        </w:rPr>
        <w:drawing>
          <wp:inline distT="0" distB="0" distL="0" distR="0" wp14:anchorId="6A3CA3AA" wp14:editId="335FADAA">
            <wp:extent cx="8189949" cy="1182413"/>
            <wp:effectExtent l="0" t="0" r="0" b="0"/>
            <wp:docPr id="6088192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19211" name="Imagen 1" descr="Texto&#10;&#10;Descripción generada automáticamente"/>
                    <pic:cNvPicPr/>
                  </pic:nvPicPr>
                  <pic:blipFill>
                    <a:blip r:embed="rId5"/>
                    <a:stretch>
                      <a:fillRect/>
                    </a:stretch>
                  </pic:blipFill>
                  <pic:spPr>
                    <a:xfrm>
                      <a:off x="0" y="0"/>
                      <a:ext cx="8238927" cy="1189484"/>
                    </a:xfrm>
                    <a:prstGeom prst="rect">
                      <a:avLst/>
                    </a:prstGeom>
                  </pic:spPr>
                </pic:pic>
              </a:graphicData>
            </a:graphic>
          </wp:inline>
        </w:drawing>
      </w:r>
    </w:p>
    <w:p w14:paraId="16F25892" w14:textId="77777777" w:rsidR="00BF0B12" w:rsidRDefault="00BF0B12" w:rsidP="00BF0B12">
      <w:pPr>
        <w:pStyle w:val="NormalWeb"/>
        <w:numPr>
          <w:ilvl w:val="0"/>
          <w:numId w:val="1"/>
        </w:numPr>
        <w:spacing w:line="276" w:lineRule="auto"/>
        <w:jc w:val="both"/>
        <w:rPr>
          <w:rFonts w:ascii="Arial" w:hAnsi="Arial" w:cs="Arial"/>
          <w:color w:val="3D393C"/>
        </w:rPr>
      </w:pPr>
      <w:r>
        <w:rPr>
          <w:rFonts w:ascii="Arial" w:hAnsi="Arial" w:cs="Arial"/>
          <w:color w:val="3D393C"/>
        </w:rPr>
        <w:t xml:space="preserve">En el Número 10. Es importante que durante el diseño de los cursos se especifique quién será el público objetivo de los cursos, así mismo, es importante que se reconozcan las guías de ecodiseño ya avaladas internacionalmente como las APR o estándares internacionales como las ISO para aumentar la reciclabilidad a partir del diseño de los envases y empaques. Se sugiere que estos cursos sean de utilidad para aplicarse en la </w:t>
      </w:r>
      <w:proofErr w:type="gramStart"/>
      <w:r>
        <w:rPr>
          <w:rFonts w:ascii="Arial" w:hAnsi="Arial" w:cs="Arial"/>
          <w:color w:val="3D393C"/>
        </w:rPr>
        <w:t>industria</w:t>
      </w:r>
      <w:proofErr w:type="gramEnd"/>
      <w:r>
        <w:rPr>
          <w:rFonts w:ascii="Arial" w:hAnsi="Arial" w:cs="Arial"/>
          <w:color w:val="3D393C"/>
        </w:rPr>
        <w:t xml:space="preserve"> pero con base a lo que actualmente ya se hace.</w:t>
      </w:r>
    </w:p>
    <w:p w14:paraId="5FA7DC62" w14:textId="77777777" w:rsidR="005C1753" w:rsidRDefault="005C1753"/>
    <w:sectPr w:rsidR="005C1753" w:rsidSect="0095232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BCF"/>
    <w:multiLevelType w:val="hybridMultilevel"/>
    <w:tmpl w:val="4B5C9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4003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12"/>
    <w:rsid w:val="005C1753"/>
    <w:rsid w:val="00952326"/>
    <w:rsid w:val="00BF0B12"/>
    <w:rsid w:val="00F96A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3439"/>
  <w15:chartTrackingRefBased/>
  <w15:docId w15:val="{FE029AC5-C529-41A6-96A6-66CF8BC9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F0B12"/>
    <w:pPr>
      <w:spacing w:before="100" w:beforeAutospacing="1" w:after="100" w:afterAutospacing="1" w:line="240" w:lineRule="auto"/>
    </w:pPr>
    <w:rPr>
      <w:rFonts w:ascii="Times New Roman" w:eastAsia="Times New Roman" w:hAnsi="Times New Roman" w:cs="Times New Roman"/>
      <w:kern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411</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Ecoce AC</dc:creator>
  <cp:keywords/>
  <dc:description/>
  <cp:lastModifiedBy>Ecoce AC</cp:lastModifiedBy>
  <cp:revision>1</cp:revision>
  <dcterms:created xsi:type="dcterms:W3CDTF">2024-02-21T03:42:00Z</dcterms:created>
  <dcterms:modified xsi:type="dcterms:W3CDTF">2024-02-21T03:42:00Z</dcterms:modified>
</cp:coreProperties>
</file>